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7D" w:rsidRDefault="00AD3D7D" w:rsidP="00173242">
      <w:pPr>
        <w:spacing w:after="0"/>
      </w:pPr>
      <w:r>
        <w:t xml:space="preserve">Sehr geehrte Damen und Herren, </w:t>
      </w:r>
    </w:p>
    <w:p w:rsidR="00AD3D7D" w:rsidRDefault="00AD3D7D" w:rsidP="00173242">
      <w:pPr>
        <w:spacing w:after="0"/>
      </w:pPr>
      <w:r>
        <w:t>Kolleginnen und Kollegen,</w:t>
      </w:r>
    </w:p>
    <w:p w:rsidR="00173242" w:rsidRDefault="00173242" w:rsidP="00173242">
      <w:pPr>
        <w:spacing w:after="0"/>
      </w:pPr>
    </w:p>
    <w:p w:rsidR="00D94384" w:rsidRDefault="00D94384" w:rsidP="00173242">
      <w:pPr>
        <w:spacing w:after="0"/>
      </w:pPr>
      <w:r>
        <w:t>mit dem</w:t>
      </w:r>
      <w:r w:rsidR="00AD3D7D">
        <w:t xml:space="preserve"> Ende der</w:t>
      </w:r>
      <w:r>
        <w:t xml:space="preserve"> Kernsperrfrist beginnt  die</w:t>
      </w:r>
      <w:r w:rsidR="00AD3D7D">
        <w:t xml:space="preserve"> Düngesaison 2019. </w:t>
      </w:r>
      <w:r w:rsidR="00DD15CD">
        <w:t>Durch die trockene</w:t>
      </w:r>
      <w:r w:rsidR="00AD3D7D">
        <w:t xml:space="preserve"> Witterung im Jahr 2018 </w:t>
      </w:r>
      <w:r>
        <w:t xml:space="preserve">sind die Erträge oftmals hinter der  Ertragserwartung zurück geblieben. Das bedeutet, dass ein Teil der gedüngten Nährstoffe </w:t>
      </w:r>
      <w:r w:rsidR="00C57172">
        <w:t xml:space="preserve"> </w:t>
      </w:r>
      <w:r>
        <w:t>nicht von den Pflanzen aufgenommen wurde und damit im Boden verblieben ist.</w:t>
      </w:r>
      <w:r w:rsidR="00F04C30">
        <w:t xml:space="preserve"> Zudem war der Herbst nicht nur </w:t>
      </w:r>
      <w:r w:rsidR="00644CDD">
        <w:t>t</w:t>
      </w:r>
      <w:r w:rsidR="00F04C30">
        <w:t>rocken, sondern auch warm. Nach der Wiederbefeuchtung des Bodens kam es zu einer erheblichen N-Freisetzung.</w:t>
      </w:r>
      <w:r>
        <w:t xml:space="preserve"> Dies lässt sich auch an unseren Bodenproben aus dem Beratungsraum erkennen. Sowohl im Herbst 2018 als auch zu Jahresbeginn 2019 wurden </w:t>
      </w:r>
      <w:r w:rsidR="005C0CEA">
        <w:t>vergleichsweise hohe</w:t>
      </w:r>
      <w:r>
        <w:t xml:space="preserve"> </w:t>
      </w:r>
      <w:r w:rsidR="005C0CEA">
        <w:t>N</w:t>
      </w:r>
      <w:r w:rsidR="005C0CEA" w:rsidRPr="005C0CEA">
        <w:rPr>
          <w:vertAlign w:val="subscript"/>
        </w:rPr>
        <w:t>min</w:t>
      </w:r>
      <w:r w:rsidR="005C0CEA">
        <w:t xml:space="preserve">-Werte </w:t>
      </w:r>
      <w:r w:rsidR="001F49C2">
        <w:t xml:space="preserve"> </w:t>
      </w:r>
      <w:r>
        <w:t>festgestellt, wie in Grafik 1 dargestellt ist.</w:t>
      </w:r>
      <w:r w:rsidR="005C0CEA">
        <w:t xml:space="preserve"> </w:t>
      </w:r>
    </w:p>
    <w:p w:rsidR="00D94384" w:rsidRDefault="00F04C30" w:rsidP="00173242">
      <w:pPr>
        <w:spacing w:after="0"/>
      </w:pPr>
      <w:r>
        <w:rPr>
          <w:noProof/>
          <w:lang w:eastAsia="de-DE"/>
        </w:rPr>
        <w:drawing>
          <wp:inline distT="0" distB="0" distL="0" distR="0" wp14:anchorId="4451E921" wp14:editId="15696D75">
            <wp:extent cx="5391150" cy="2962275"/>
            <wp:effectExtent l="0" t="0" r="19050" b="952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C0CEA" w:rsidRDefault="005C0CEA" w:rsidP="00173242">
      <w:pPr>
        <w:spacing w:after="0"/>
        <w:rPr>
          <w:sz w:val="20"/>
        </w:rPr>
      </w:pPr>
      <w:r w:rsidRPr="00FF4A3F">
        <w:rPr>
          <w:sz w:val="20"/>
        </w:rPr>
        <w:t>Grafik 1: Vergleich der N</w:t>
      </w:r>
      <w:r w:rsidRPr="00FF4A3F">
        <w:rPr>
          <w:sz w:val="20"/>
          <w:vertAlign w:val="subscript"/>
        </w:rPr>
        <w:t>min</w:t>
      </w:r>
      <w:r w:rsidRPr="00FF4A3F">
        <w:rPr>
          <w:sz w:val="20"/>
        </w:rPr>
        <w:t xml:space="preserve"> Werte der </w:t>
      </w:r>
      <w:r w:rsidR="00F04C30">
        <w:rPr>
          <w:sz w:val="20"/>
        </w:rPr>
        <w:t>Herbst</w:t>
      </w:r>
      <w:r w:rsidRPr="00FF4A3F">
        <w:rPr>
          <w:sz w:val="20"/>
        </w:rPr>
        <w:t>- Beprobungen und der N</w:t>
      </w:r>
      <w:r w:rsidRPr="00FF4A3F">
        <w:rPr>
          <w:sz w:val="20"/>
          <w:vertAlign w:val="subscript"/>
        </w:rPr>
        <w:t>min</w:t>
      </w:r>
      <w:r w:rsidR="00F04C30">
        <w:rPr>
          <w:sz w:val="20"/>
        </w:rPr>
        <w:t xml:space="preserve"> Werte der Beprobungen im</w:t>
      </w:r>
      <w:r w:rsidRPr="00FF4A3F">
        <w:rPr>
          <w:sz w:val="20"/>
        </w:rPr>
        <w:t xml:space="preserve"> Frühjahr des Folgejahres </w:t>
      </w:r>
      <w:r w:rsidR="00F04C30">
        <w:rPr>
          <w:sz w:val="20"/>
        </w:rPr>
        <w:t xml:space="preserve">(0-90cm) </w:t>
      </w:r>
      <w:r w:rsidRPr="00FF4A3F">
        <w:rPr>
          <w:sz w:val="20"/>
        </w:rPr>
        <w:t xml:space="preserve">im Bereich Reinheimer Hügelland  der vergangenen Jahre. </w:t>
      </w:r>
      <w:r w:rsidR="00F04C30">
        <w:rPr>
          <w:sz w:val="20"/>
        </w:rPr>
        <w:t>2019: Wert nur vorläufig.</w:t>
      </w:r>
    </w:p>
    <w:p w:rsidR="00173242" w:rsidRPr="005C0CEA" w:rsidRDefault="00173242" w:rsidP="00173242">
      <w:pPr>
        <w:spacing w:after="0"/>
        <w:rPr>
          <w:sz w:val="18"/>
        </w:rPr>
      </w:pPr>
    </w:p>
    <w:p w:rsidR="008C7AD6" w:rsidRDefault="00D94384" w:rsidP="00173242">
      <w:pPr>
        <w:spacing w:after="0"/>
      </w:pPr>
      <w:r>
        <w:t>Damit hat das Jahr 2018 auch Auswirkungen auf die Düngung im Jahr 2019. Zwar wurde ein Teil des Stickstoffes  bereits durch den Ni</w:t>
      </w:r>
      <w:r w:rsidR="00192359">
        <w:t>ederschlag verlagert, allerding</w:t>
      </w:r>
      <w:r>
        <w:t>s befinden sich immer noch erhebliche  N-Mengen im durchwurzelbaren Berei</w:t>
      </w:r>
      <w:r w:rsidR="00192359">
        <w:t>ch in der Ackerkrume. Diese werden je nach Verlagerungstiefe im Vegetationsverlauf</w:t>
      </w:r>
      <w:r>
        <w:t xml:space="preserve"> für die Kulturpflanzen verfügbar und müssen damit bei der Bemessung der Düngergaben beachtet werden.  </w:t>
      </w:r>
      <w:bookmarkStart w:id="0" w:name="_GoBack"/>
      <w:bookmarkEnd w:id="0"/>
      <w:r w:rsidR="00F04C30">
        <w:t>Da das Wurzelwachstum für das Erschließen der Düngerreserven im Boden maßgebend ist, muss daran die bestmögliche Düngestrategie angepasst werden. Das bedeutet, dass schwache Bestände früh</w:t>
      </w:r>
      <w:r w:rsidR="00D43E99">
        <w:t>zeitig angedüngt werden sollten,</w:t>
      </w:r>
      <w:r w:rsidR="00F04C30">
        <w:t xml:space="preserve"> während bei gut entwickelten Beständen </w:t>
      </w:r>
      <w:r w:rsidR="00D43E99">
        <w:t xml:space="preserve">die erste Gabe reduziert werden sollte. Im weiteren Vegetationsverlauf ist </w:t>
      </w:r>
      <w:r w:rsidR="00BD3898">
        <w:t>in Abhängigkeit von der Entwicklung der Bestände</w:t>
      </w:r>
      <w:r w:rsidR="00D43E99">
        <w:t xml:space="preserve">  eine Anpassung der weiteren Gaben erforderlich, um den Rahmen der D</w:t>
      </w:r>
      <w:r w:rsidR="00BD3898">
        <w:t>üngebedarfsermittlung</w:t>
      </w:r>
      <w:r w:rsidR="00D43E99">
        <w:t xml:space="preserve"> nicht zu sprengen. </w:t>
      </w:r>
    </w:p>
    <w:p w:rsidR="00DA6B17" w:rsidRDefault="00DA6B17" w:rsidP="00DA6B17">
      <w:pPr>
        <w:rPr>
          <w:b/>
        </w:rPr>
      </w:pPr>
      <w:r>
        <w:t>Bitte beachten Sie unbedingt die Dokumentationsverpflichtungen. Vor der ersten Düngegabe muss nach Cross Compliance die Düngebedarfsermittlung angefertigt werden. Dabei ist neben anderen Faktoren der  Stickstoff im Boden  (Nmin) zu beachten. Als  Datengrundlage hierfür können die vorliegenden N</w:t>
      </w:r>
      <w:r>
        <w:rPr>
          <w:vertAlign w:val="subscript"/>
        </w:rPr>
        <w:t>min-</w:t>
      </w:r>
      <w:r>
        <w:t xml:space="preserve">-Ergebnisse von eigenen Flächen  oder Daten der  Vergleichsflächen der AGGL  werden. Bitte beachten Sie unbedingt, dass düngungsrelevante Vorgaben aus WSG-Verordnungen oder Kooperationen  (z.B. Nachlieferung aus der organischen Düngung), in jeden Fall anzuwenden </w:t>
      </w:r>
      <w:r>
        <w:lastRenderedPageBreak/>
        <w:t xml:space="preserve">sind.   Die errechnete Düngebedarfsermittlung stellt die Düngungsobergrenze dar. </w:t>
      </w:r>
      <w:r>
        <w:rPr>
          <w:b/>
        </w:rPr>
        <w:t>Sie darf in keinem Fall überschritten werden!</w:t>
      </w:r>
    </w:p>
    <w:p w:rsidR="004B3E95" w:rsidRDefault="00192359" w:rsidP="00173242">
      <w:pPr>
        <w:spacing w:after="0"/>
      </w:pPr>
      <w:r>
        <w:t>Viele Betriebe setzen bei der ersten Düngergabe im Frühjahr organische Dünger wie Gülle oder Gärreste ein.</w:t>
      </w:r>
      <w:r w:rsidR="001736A6" w:rsidRPr="001736A6">
        <w:t xml:space="preserve"> </w:t>
      </w:r>
      <w:r w:rsidR="001736A6">
        <w:t>Die</w:t>
      </w:r>
      <w:r w:rsidR="001736A6" w:rsidRPr="001736A6">
        <w:t xml:space="preserve"> guten Bedingungen der letzten Tage </w:t>
      </w:r>
      <w:r w:rsidR="001736A6">
        <w:t xml:space="preserve">wurden teilweise schon </w:t>
      </w:r>
      <w:r w:rsidR="001736A6" w:rsidRPr="001736A6">
        <w:t>für die</w:t>
      </w:r>
      <w:r w:rsidR="001736A6">
        <w:t xml:space="preserve"> erste organische Düngegabe genutzt</w:t>
      </w:r>
      <w:r w:rsidR="001736A6" w:rsidRPr="001736A6">
        <w:t xml:space="preserve">. </w:t>
      </w:r>
      <w:r>
        <w:t xml:space="preserve"> </w:t>
      </w:r>
      <w:r w:rsidR="00C57172" w:rsidRPr="00C57172">
        <w:t xml:space="preserve">Durch die weite Streuung der Inhaltstoffe können Tabellenwerte weit von den tatsächlichen Nährstoffgehalten der Wirtschaftsdünger abweichen und damit zu Fehlbemessung der Düngegaben führen. </w:t>
      </w:r>
      <w:r w:rsidR="00C57172">
        <w:t xml:space="preserve"> </w:t>
      </w:r>
      <w:r>
        <w:t>V</w:t>
      </w:r>
      <w:r w:rsidR="004B3E95">
        <w:t>or</w:t>
      </w:r>
      <w:r>
        <w:t xml:space="preserve"> der Ausbringung der betriebseigenen Dünger ist es</w:t>
      </w:r>
      <w:r w:rsidR="00C57172">
        <w:t xml:space="preserve"> deshalb</w:t>
      </w:r>
      <w:r>
        <w:t xml:space="preserve"> sinnvoll,  </w:t>
      </w:r>
      <w:r w:rsidR="004B3E95">
        <w:t>deren Nährstoffgehalte zu analysieren</w:t>
      </w:r>
      <w:r w:rsidR="005B5A3A">
        <w:t xml:space="preserve">. Einerseits, um damit </w:t>
      </w:r>
      <w:r w:rsidR="004B3E95">
        <w:t xml:space="preserve">eine bedarfsgerechte Pflanzenversorgung sicherzustellen und </w:t>
      </w:r>
      <w:r w:rsidR="005B5A3A">
        <w:t xml:space="preserve">andererseits </w:t>
      </w:r>
      <w:r w:rsidR="004B3E95">
        <w:t>durch eine erhöhte Düngeeffizienz aus vorhandenen Düngern, Einsparungen beim Mineraldüngerzukauf zu erreichen.</w:t>
      </w:r>
      <w:r>
        <w:t xml:space="preserve">  Die Nährstoffausnutzung lässt sich außerdem durch bekannte Maßnahmen der guten fachlichen Praxis</w:t>
      </w:r>
      <w:r w:rsidR="00D43E99">
        <w:t xml:space="preserve"> besonders durch </w:t>
      </w:r>
      <w:r>
        <w:t xml:space="preserve"> bodennahe Ausbringung</w:t>
      </w:r>
      <w:r w:rsidR="00997034">
        <w:t xml:space="preserve"> </w:t>
      </w:r>
      <w:r w:rsidR="00183D89">
        <w:t>verbessern.</w:t>
      </w:r>
      <w:r>
        <w:t xml:space="preserve">  </w:t>
      </w:r>
    </w:p>
    <w:p w:rsidR="0034390D" w:rsidRDefault="004B3E95" w:rsidP="00173242">
      <w:pPr>
        <w:spacing w:after="0"/>
      </w:pPr>
      <w:r>
        <w:t>Für Betriebe, die</w:t>
      </w:r>
      <w:r w:rsidR="00BD3898">
        <w:t xml:space="preserve"> mehr als 50 GV oder mehr als 2,5 GV/ha halten </w:t>
      </w:r>
      <w:r w:rsidR="00BD3898" w:rsidRPr="0034390D">
        <w:rPr>
          <w:b/>
          <w:u w:val="single"/>
        </w:rPr>
        <w:t>ODER</w:t>
      </w:r>
      <w:r w:rsidR="00BD3898">
        <w:t xml:space="preserve"> einen N- Anfall von 750</w:t>
      </w:r>
      <w:r w:rsidR="00173242">
        <w:t xml:space="preserve"> </w:t>
      </w:r>
      <w:r w:rsidR="00BD3898">
        <w:t>kg aus eigener Tierhaltung haben und mehr als 750</w:t>
      </w:r>
      <w:r w:rsidR="00173242">
        <w:t xml:space="preserve"> </w:t>
      </w:r>
      <w:r w:rsidR="00BD3898">
        <w:t>kg N aus fremden Wirtschaftsdüngern aufnehmen</w:t>
      </w:r>
      <w:r w:rsidR="0034390D">
        <w:t xml:space="preserve"> </w:t>
      </w:r>
      <w:r w:rsidR="0034390D">
        <w:rPr>
          <w:b/>
          <w:u w:val="single"/>
        </w:rPr>
        <w:t xml:space="preserve">ODER  </w:t>
      </w:r>
      <w:r w:rsidR="0034390D" w:rsidRPr="0034390D">
        <w:t>eine Biogasanlage betreiben und in einem funktionalen Zusammenhang mit einem Betrieb stehen, der verpflichtet ist eine Stoffstrombilanz zu erstellen</w:t>
      </w:r>
      <w:r w:rsidR="00BE004C" w:rsidRPr="00173242">
        <w:rPr>
          <w:b/>
        </w:rPr>
        <w:t xml:space="preserve">, </w:t>
      </w:r>
      <w:r w:rsidRPr="00173242">
        <w:rPr>
          <w:b/>
        </w:rPr>
        <w:t xml:space="preserve">ist </w:t>
      </w:r>
      <w:r w:rsidR="00173242" w:rsidRPr="00173242">
        <w:rPr>
          <w:b/>
        </w:rPr>
        <w:t xml:space="preserve">zusätzlich zur </w:t>
      </w:r>
      <w:r w:rsidR="00192359" w:rsidRPr="00173242">
        <w:rPr>
          <w:b/>
        </w:rPr>
        <w:t xml:space="preserve"> DBE und dem betrieblichen Nährstoffvergleich </w:t>
      </w:r>
      <w:r w:rsidRPr="00173242">
        <w:rPr>
          <w:b/>
        </w:rPr>
        <w:t>außerdem eine Stoff</w:t>
      </w:r>
      <w:r w:rsidR="00BE004C" w:rsidRPr="00173242">
        <w:rPr>
          <w:b/>
        </w:rPr>
        <w:t>strombilanz anzufertigen.</w:t>
      </w:r>
      <w:r w:rsidR="00BE004C">
        <w:t xml:space="preserve"> </w:t>
      </w:r>
    </w:p>
    <w:p w:rsidR="004B3E95" w:rsidRDefault="00183D89" w:rsidP="00173242">
      <w:pPr>
        <w:spacing w:after="0"/>
      </w:pPr>
      <w:r>
        <w:t xml:space="preserve"> </w:t>
      </w:r>
      <w:r w:rsidR="001736A6">
        <w:t xml:space="preserve">Außerdem sind bei der Abgabe/ Aufnahme von Wirtschaftsdüngern Lieferscheine anzufertigen, um eine Rückverfolgbarkeit der </w:t>
      </w:r>
      <w:r w:rsidR="00997034">
        <w:t>N</w:t>
      </w:r>
      <w:r w:rsidR="001736A6">
        <w:t>ährstoffströme zu gewährleisten</w:t>
      </w:r>
      <w:r w:rsidR="00997034">
        <w:t>.</w:t>
      </w:r>
      <w:r w:rsidR="001736A6">
        <w:t xml:space="preserve"> </w:t>
      </w:r>
      <w:r>
        <w:t>Betriebe, die an der Nährstoffbörse der AGGL teilnehmen, können bei den Dokumentationsverpflichtungen</w:t>
      </w:r>
      <w:r w:rsidR="001736A6">
        <w:t xml:space="preserve"> </w:t>
      </w:r>
      <w:r>
        <w:t>(DBE, Stoffstrombilanz, Lieferscheine</w:t>
      </w:r>
      <w:r w:rsidR="00D35D51">
        <w:t xml:space="preserve"> für Wir</w:t>
      </w:r>
      <w:r w:rsidR="001736A6">
        <w:t>tschaftsdünger</w:t>
      </w:r>
      <w:r w:rsidR="00D35D51">
        <w:t>)</w:t>
      </w:r>
      <w:r w:rsidR="001736A6">
        <w:t xml:space="preserve"> unterstützt werden. </w:t>
      </w:r>
      <w:r w:rsidR="004F24C4">
        <w:t xml:space="preserve"> Die Dokumentation  und Bemessung der Düngegaben erfolgt dabei </w:t>
      </w:r>
      <w:r w:rsidR="00997034">
        <w:t>schlagspezifisch nach Vorgabe des Bewirtschafters unter Beachtung der zugrunde liegenden Regularien.</w:t>
      </w:r>
    </w:p>
    <w:sectPr w:rsidR="004B3E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7D"/>
    <w:rsid w:val="00173242"/>
    <w:rsid w:val="001736A6"/>
    <w:rsid w:val="00183D89"/>
    <w:rsid w:val="00192359"/>
    <w:rsid w:val="001F49C2"/>
    <w:rsid w:val="0022087B"/>
    <w:rsid w:val="0034390D"/>
    <w:rsid w:val="004B3E95"/>
    <w:rsid w:val="004F24C4"/>
    <w:rsid w:val="00513E99"/>
    <w:rsid w:val="005B5A3A"/>
    <w:rsid w:val="005C0CEA"/>
    <w:rsid w:val="00644CDD"/>
    <w:rsid w:val="008C7AD6"/>
    <w:rsid w:val="00997034"/>
    <w:rsid w:val="009C4E78"/>
    <w:rsid w:val="00AD3D7D"/>
    <w:rsid w:val="00B706AF"/>
    <w:rsid w:val="00BD3898"/>
    <w:rsid w:val="00BE004C"/>
    <w:rsid w:val="00C57172"/>
    <w:rsid w:val="00D35D51"/>
    <w:rsid w:val="00D43E99"/>
    <w:rsid w:val="00D94384"/>
    <w:rsid w:val="00DA6B17"/>
    <w:rsid w:val="00DD15CD"/>
    <w:rsid w:val="00F04C30"/>
    <w:rsid w:val="00F7493E"/>
    <w:rsid w:val="00FF4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F24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2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F24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2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9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Vergleich Nmin Werte Herbst/ Frühjahr verschiedener Jahre</a:t>
            </a:r>
            <a:endParaRPr lang="en-U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'Zusammenfassung+Grafik'!$B$1</c:f>
              <c:strCache>
                <c:ptCount val="1"/>
                <c:pt idx="0">
                  <c:v>Nmin Herbst</c:v>
                </c:pt>
              </c:strCache>
            </c:strRef>
          </c:tx>
          <c:spPr>
            <a:solidFill>
              <a:schemeClr val="tx2">
                <a:lumMod val="60000"/>
                <a:lumOff val="40000"/>
              </a:schemeClr>
            </a:solidFill>
          </c:spPr>
          <c:invertIfNegative val="0"/>
          <c:cat>
            <c:strRef>
              <c:f>'Zusammenfassung+Grafik'!$A$2:$A$7</c:f>
              <c:strCache>
                <c:ptCount val="6"/>
                <c:pt idx="0">
                  <c:v>2013/14</c:v>
                </c:pt>
                <c:pt idx="1">
                  <c:v>2014/15</c:v>
                </c:pt>
                <c:pt idx="2">
                  <c:v>2015/16</c:v>
                </c:pt>
                <c:pt idx="3">
                  <c:v>2016/17</c:v>
                </c:pt>
                <c:pt idx="4">
                  <c:v>2017/18</c:v>
                </c:pt>
                <c:pt idx="5">
                  <c:v>2018/19</c:v>
                </c:pt>
              </c:strCache>
            </c:strRef>
          </c:cat>
          <c:val>
            <c:numRef>
              <c:f>'Zusammenfassung+Grafik'!$B$2:$B$7</c:f>
              <c:numCache>
                <c:formatCode>General</c:formatCode>
                <c:ptCount val="6"/>
                <c:pt idx="0">
                  <c:v>41.038759689922479</c:v>
                </c:pt>
                <c:pt idx="1">
                  <c:v>71.450704225352112</c:v>
                </c:pt>
                <c:pt idx="2">
                  <c:v>70.95</c:v>
                </c:pt>
                <c:pt idx="3">
                  <c:v>94.172995780590711</c:v>
                </c:pt>
                <c:pt idx="4">
                  <c:v>63.201970443349751</c:v>
                </c:pt>
                <c:pt idx="5">
                  <c:v>100.72169811320755</c:v>
                </c:pt>
              </c:numCache>
            </c:numRef>
          </c:val>
        </c:ser>
        <c:ser>
          <c:idx val="2"/>
          <c:order val="1"/>
          <c:tx>
            <c:v>Nmin Frühjahr</c:v>
          </c:tx>
          <c:spPr>
            <a:solidFill>
              <a:schemeClr val="accent6">
                <a:lumMod val="75000"/>
              </a:schemeClr>
            </a:solidFill>
          </c:spPr>
          <c:invertIfNegative val="0"/>
          <c:cat>
            <c:strRef>
              <c:f>'Zusammenfassung+Grafik'!$A$2:$A$7</c:f>
              <c:strCache>
                <c:ptCount val="6"/>
                <c:pt idx="0">
                  <c:v>2013/14</c:v>
                </c:pt>
                <c:pt idx="1">
                  <c:v>2014/15</c:v>
                </c:pt>
                <c:pt idx="2">
                  <c:v>2015/16</c:v>
                </c:pt>
                <c:pt idx="3">
                  <c:v>2016/17</c:v>
                </c:pt>
                <c:pt idx="4">
                  <c:v>2017/18</c:v>
                </c:pt>
                <c:pt idx="5">
                  <c:v>2018/19</c:v>
                </c:pt>
              </c:strCache>
            </c:strRef>
          </c:cat>
          <c:val>
            <c:numRef>
              <c:f>'Zusammenfassung+Grafik'!$C$2:$C$7</c:f>
              <c:numCache>
                <c:formatCode>General</c:formatCode>
                <c:ptCount val="6"/>
                <c:pt idx="0">
                  <c:v>39.94736842105263</c:v>
                </c:pt>
                <c:pt idx="1">
                  <c:v>41.296296296296298</c:v>
                </c:pt>
                <c:pt idx="2">
                  <c:v>41.058823529411768</c:v>
                </c:pt>
                <c:pt idx="3">
                  <c:v>96.226415094339629</c:v>
                </c:pt>
                <c:pt idx="4">
                  <c:v>32.047058823529412</c:v>
                </c:pt>
                <c:pt idx="5">
                  <c:v>98</c:v>
                </c:pt>
              </c:numCache>
            </c:numRef>
          </c:val>
        </c:ser>
        <c:dLbls>
          <c:showLegendKey val="0"/>
          <c:showVal val="0"/>
          <c:showCatName val="0"/>
          <c:showSerName val="0"/>
          <c:showPercent val="0"/>
          <c:showBubbleSize val="0"/>
        </c:dLbls>
        <c:gapWidth val="150"/>
        <c:shape val="box"/>
        <c:axId val="77235712"/>
        <c:axId val="77237248"/>
        <c:axId val="0"/>
      </c:bar3DChart>
      <c:catAx>
        <c:axId val="77235712"/>
        <c:scaling>
          <c:orientation val="minMax"/>
        </c:scaling>
        <c:delete val="0"/>
        <c:axPos val="b"/>
        <c:numFmt formatCode="General" sourceLinked="1"/>
        <c:majorTickMark val="none"/>
        <c:minorTickMark val="none"/>
        <c:tickLblPos val="nextTo"/>
        <c:crossAx val="77237248"/>
        <c:crosses val="autoZero"/>
        <c:auto val="1"/>
        <c:lblAlgn val="ctr"/>
        <c:lblOffset val="100"/>
        <c:noMultiLvlLbl val="0"/>
      </c:catAx>
      <c:valAx>
        <c:axId val="77237248"/>
        <c:scaling>
          <c:orientation val="minMax"/>
        </c:scaling>
        <c:delete val="0"/>
        <c:axPos val="l"/>
        <c:majorGridlines/>
        <c:numFmt formatCode="General" sourceLinked="1"/>
        <c:majorTickMark val="none"/>
        <c:minorTickMark val="none"/>
        <c:tickLblPos val="nextTo"/>
        <c:crossAx val="7723571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Vetter</dc:creator>
  <cp:lastModifiedBy>Klaus Vetter</cp:lastModifiedBy>
  <cp:revision>16</cp:revision>
  <cp:lastPrinted>2019-02-07T12:41:00Z</cp:lastPrinted>
  <dcterms:created xsi:type="dcterms:W3CDTF">2019-02-04T14:54:00Z</dcterms:created>
  <dcterms:modified xsi:type="dcterms:W3CDTF">2019-02-14T11:19:00Z</dcterms:modified>
</cp:coreProperties>
</file>